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7" w:beforeLines="50" w:beforeAutospacing="0" w:after="147" w:afterLines="50" w:afterAutospacing="0" w:line="594" w:lineRule="exact"/>
        <w:ind w:left="0" w:hanging="1680" w:hangingChars="4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</w:rPr>
        <w:t>计量专业项目考核申请表</w:t>
      </w:r>
    </w:p>
    <w:tbl>
      <w:tblPr>
        <w:tblStyle w:val="6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182"/>
        <w:gridCol w:w="1199"/>
        <w:gridCol w:w="5"/>
        <w:gridCol w:w="1230"/>
        <w:gridCol w:w="146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及邮编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  <w:lang w:val="en-US" w:eastAsia="zh-CN"/>
              </w:rPr>
              <w:t>计量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专业类别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子项目</w:t>
            </w: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计量技术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规范名称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4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保证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用于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计量专业项目考核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内容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真实可靠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，如有虚假，愿承担由此造成的法律后果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申请人签字：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4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（单位公章）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填写说明:计量专业项目考核申请表由组织考核单位负责存档。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beforeLines="50" w:after="147" w:afterLines="50"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highlight w:val="none"/>
          <w:lang w:eastAsia="zh-CN"/>
        </w:rPr>
        <w:t>计量专业项目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highlight w:val="none"/>
          <w:lang w:eastAsia="zh-CN"/>
        </w:rPr>
        <w:t>操作技能考核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highlight w:val="none"/>
        </w:rPr>
        <w:t>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4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考核日期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：    年  月  日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              </w:t>
      </w:r>
    </w:p>
    <w:tbl>
      <w:tblPr>
        <w:tblStyle w:val="7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04"/>
        <w:gridCol w:w="668"/>
        <w:gridCol w:w="1425"/>
        <w:gridCol w:w="22"/>
        <w:gridCol w:w="158"/>
        <w:gridCol w:w="1140"/>
        <w:gridCol w:w="245"/>
        <w:gridCol w:w="888"/>
        <w:gridCol w:w="922"/>
        <w:gridCol w:w="330"/>
        <w:gridCol w:w="59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执业单位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计量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专业类别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子项目</w:t>
            </w:r>
          </w:p>
        </w:tc>
        <w:tc>
          <w:tcPr>
            <w:tcW w:w="52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计量技术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规范名称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52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被检样品名称</w:t>
            </w:r>
          </w:p>
        </w:tc>
        <w:tc>
          <w:tcPr>
            <w:tcW w:w="791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被检样品</w:t>
            </w:r>
          </w:p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型号、编号</w:t>
            </w:r>
          </w:p>
        </w:tc>
        <w:tc>
          <w:tcPr>
            <w:tcW w:w="7916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所使用计量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标准的名称</w:t>
            </w:r>
          </w:p>
        </w:tc>
        <w:tc>
          <w:tcPr>
            <w:tcW w:w="42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计量标准考核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证书编号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81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考核内容及评分标准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满分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评分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819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操作程序：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Ⅰ正确1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Ⅱ基本正确1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Ⅲ部分正确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分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熟练3-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不熟练1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-0分</w:t>
            </w: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操作方法：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Ⅰ正确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Ⅱ基本正确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Ⅲ部分正确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不熟练3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-0分</w:t>
            </w: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highlight w:val="none"/>
              </w:rPr>
              <w:t>数据处理与出具证书：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Ⅰ正确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Ⅱ基本正确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Ⅲ部分正确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7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273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不熟练3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-0分</w:t>
            </w:r>
          </w:p>
        </w:tc>
        <w:tc>
          <w:tcPr>
            <w:tcW w:w="92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22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958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结论：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格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需要说明的有关问题：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38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主考人1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计量标准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考评员证号：量标考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字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38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注册计量师注册证编号：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38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职称证书编号：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38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主考人2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计量标准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考评员证号：量标考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字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38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注册计量师注册证编号：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38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职称证书编号：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104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填表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计量专业项目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操作技能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评分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表由组织考核单位负责存档。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本表由主考人填写，总分100分，70分及格。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3. 考核评分由准确性和熟练程度两部分组成，每部分分为三个层次，表述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正确的选择层次Ⅰ作为评分段，基本正确的选择层次Ⅱ作为评分段，部分正确的选择层次Ⅲ作为评分段。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bCs w:val="0"/>
          <w:color w:val="auto"/>
          <w:kern w:val="2"/>
          <w:sz w:val="21"/>
          <w:szCs w:val="21"/>
          <w:highlight w:val="none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计量专业项目操作技能考核应当在满足相应计量技术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要求的条件下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。每个计量专业项目考核需聘请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  <w:lang w:eastAsia="zh-CN"/>
        </w:rPr>
        <w:t>及以上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从事本计量专业项目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年以上且取得中级以上职称的专家作为主考人，其中至少1名为本计量专业项目的计量标准考评员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1"/>
          <w:szCs w:val="21"/>
          <w:highlight w:val="none"/>
        </w:rPr>
        <w:t>或获得注册计量师注册证的专业技术人员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没有本计量专业项目的计量标准考评员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1"/>
          <w:szCs w:val="21"/>
          <w:highlight w:val="none"/>
        </w:rPr>
        <w:t>或获得注册计量师注册证的专业技术人员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时，可以聘请相近计量专业项目的计量标准考评员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1"/>
          <w:szCs w:val="21"/>
          <w:highlight w:val="none"/>
        </w:rPr>
        <w:t>或获得注册计量师注册证的专业技术人员、相应计量技术规范的主要起草人</w:t>
      </w:r>
      <w:r>
        <w:rPr>
          <w:rFonts w:hint="eastAsia" w:ascii="仿宋_GB2312" w:hAnsi="仿宋_GB2312" w:eastAsia="仿宋_GB2312" w:cs="仿宋_GB2312"/>
          <w:color w:val="auto"/>
          <w:spacing w:val="0"/>
          <w:sz w:val="21"/>
          <w:szCs w:val="21"/>
          <w:highlight w:val="none"/>
        </w:rPr>
        <w:t>作为主考人。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5. 计量专业项目操作技能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考核材料应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被考核人出具的原始记录及模拟证书。</w:t>
      </w:r>
    </w:p>
    <w:p>
      <w:pPr>
        <w:pStyle w:val="2"/>
        <w:rPr>
          <w:rFonts w:hint="eastAsia" w:ascii="Times New Roman" w:hAnsi="Times New Roman" w:cs="Times New Roman"/>
          <w:bCs w:val="0"/>
          <w:color w:val="auto"/>
          <w:kern w:val="2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cs="Times New Roman"/>
          <w:bCs w:val="0"/>
          <w:color w:val="auto"/>
          <w:kern w:val="2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/>
        </w:rPr>
      </w:pPr>
    </w:p>
    <w:p>
      <w:pPr>
        <w:pStyle w:val="2"/>
        <w:rPr>
          <w:rFonts w:hint="default"/>
          <w:lang w:val="en-US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7" w:beforeLines="50" w:beforeAutospacing="0" w:after="147" w:afterLines="50" w:afterAutospacing="0" w:line="594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</w:rPr>
        <w:t>计量专业项目考核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  <w:lang w:eastAsia="zh-CN"/>
        </w:rPr>
        <w:t>审批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</w:rPr>
        <w:t>表</w:t>
      </w:r>
    </w:p>
    <w:tbl>
      <w:tblPr>
        <w:tblStyle w:val="6"/>
        <w:tblW w:w="97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1271"/>
        <w:gridCol w:w="868"/>
        <w:gridCol w:w="403"/>
        <w:gridCol w:w="1584"/>
        <w:gridCol w:w="601"/>
        <w:gridCol w:w="122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执业单位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单位地址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及邮编</w:t>
            </w:r>
          </w:p>
        </w:tc>
        <w:tc>
          <w:tcPr>
            <w:tcW w:w="71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专业类别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子项目</w:t>
            </w:r>
          </w:p>
        </w:tc>
        <w:tc>
          <w:tcPr>
            <w:tcW w:w="3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计量技术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规范名称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及编号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知识考核成绩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操作技能考核成绩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主考人1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21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计量标准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考评员证号：量标考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字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注册计量师注册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职称证书编号：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主考人2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21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计量标准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考评员证号：量标考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字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注册计量师注册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职称证书编号：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exact"/>
        </w:trPr>
        <w:tc>
          <w:tcPr>
            <w:tcW w:w="971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2880" w:hangingChars="1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考核单位意见：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0" w:hanging="2880" w:hangingChars="1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880" w:leftChars="0" w:hanging="2880" w:hangingChars="12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年    月    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计量专业项目考核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表由组织考核单位负责存档。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7" w:beforeLines="50" w:beforeAutospacing="0" w:after="147" w:afterLines="50" w:afterAutospacing="0" w:line="594" w:lineRule="exact"/>
        <w:ind w:left="0" w:hanging="1680" w:hangingChars="4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7" w:beforeLines="50" w:beforeAutospacing="0" w:after="147" w:afterLines="50" w:afterAutospacing="0" w:line="594" w:lineRule="exact"/>
        <w:ind w:left="0" w:hanging="1680" w:hangingChars="40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</w:rPr>
        <w:t>计量专业项目考核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  <w:lang w:eastAsia="zh-CN"/>
        </w:rPr>
        <w:t>合格证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0" w:hanging="104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24"/>
          <w:szCs w:val="24"/>
          <w:highlight w:val="none"/>
          <w:lang w:eastAsia="zh-CN"/>
        </w:rPr>
        <w:t>编号：</w:t>
      </w:r>
    </w:p>
    <w:tbl>
      <w:tblPr>
        <w:tblStyle w:val="6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8"/>
        <w:gridCol w:w="1158"/>
        <w:gridCol w:w="1808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7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计量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专业类别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子项目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计量技术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规范名称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942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以上计量专业项目经考核合格。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组织考核单位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签发日期：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86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 w:firstLine="180" w:firstLineChars="10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62E30"/>
    <w:multiLevelType w:val="singleLevel"/>
    <w:tmpl w:val="BFE62E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b1119d46-0194-4c49-abe8-d2fc02bc5dc4"/>
  </w:docVars>
  <w:rsids>
    <w:rsidRoot w:val="FFED0D91"/>
    <w:rsid w:val="0CB7F1D2"/>
    <w:rsid w:val="0DEFEE33"/>
    <w:rsid w:val="35FFD0A8"/>
    <w:rsid w:val="36FDD549"/>
    <w:rsid w:val="39CD21BC"/>
    <w:rsid w:val="3FDB6171"/>
    <w:rsid w:val="4CA11D59"/>
    <w:rsid w:val="4FFBFAFD"/>
    <w:rsid w:val="563C30C6"/>
    <w:rsid w:val="56AD18E5"/>
    <w:rsid w:val="57EB8458"/>
    <w:rsid w:val="66E383EB"/>
    <w:rsid w:val="6A6EBDB5"/>
    <w:rsid w:val="6AFD1762"/>
    <w:rsid w:val="6BF37CFE"/>
    <w:rsid w:val="6BFF175F"/>
    <w:rsid w:val="6EDFECA6"/>
    <w:rsid w:val="6EFF42C0"/>
    <w:rsid w:val="6F376C75"/>
    <w:rsid w:val="6F5DD45A"/>
    <w:rsid w:val="6FBD1A42"/>
    <w:rsid w:val="6FBF487F"/>
    <w:rsid w:val="6FE5E120"/>
    <w:rsid w:val="6FE756EF"/>
    <w:rsid w:val="6FED0BAE"/>
    <w:rsid w:val="6FF82AE2"/>
    <w:rsid w:val="71F7325D"/>
    <w:rsid w:val="73E96A81"/>
    <w:rsid w:val="73FA80D3"/>
    <w:rsid w:val="776F0F37"/>
    <w:rsid w:val="77FFEE4D"/>
    <w:rsid w:val="7ABFB7EC"/>
    <w:rsid w:val="7B4FCAA8"/>
    <w:rsid w:val="7B7BC292"/>
    <w:rsid w:val="7BF7827C"/>
    <w:rsid w:val="7BFA73E1"/>
    <w:rsid w:val="7BFE7070"/>
    <w:rsid w:val="7E7756D9"/>
    <w:rsid w:val="7EEE0A2A"/>
    <w:rsid w:val="7F5FE907"/>
    <w:rsid w:val="7F7EAE17"/>
    <w:rsid w:val="7FA741EE"/>
    <w:rsid w:val="7FAF2ABD"/>
    <w:rsid w:val="7FAFADB4"/>
    <w:rsid w:val="7FBDB69B"/>
    <w:rsid w:val="7FDDB0B1"/>
    <w:rsid w:val="7FEDFA15"/>
    <w:rsid w:val="7FFFDB42"/>
    <w:rsid w:val="9EF72F18"/>
    <w:rsid w:val="AF7F60BC"/>
    <w:rsid w:val="BB81F164"/>
    <w:rsid w:val="BBFF16B3"/>
    <w:rsid w:val="BD5E1769"/>
    <w:rsid w:val="BDBC0416"/>
    <w:rsid w:val="BDF415DF"/>
    <w:rsid w:val="BEF7E330"/>
    <w:rsid w:val="BFA7AF0E"/>
    <w:rsid w:val="D1E77B82"/>
    <w:rsid w:val="DB9C8E8F"/>
    <w:rsid w:val="DEEB370C"/>
    <w:rsid w:val="DFEBD916"/>
    <w:rsid w:val="DFF8509D"/>
    <w:rsid w:val="E2B687F5"/>
    <w:rsid w:val="E5AB01F9"/>
    <w:rsid w:val="E7D761A3"/>
    <w:rsid w:val="ED6E3C37"/>
    <w:rsid w:val="EEFE7A0F"/>
    <w:rsid w:val="EF5F1EA6"/>
    <w:rsid w:val="F5BFFA25"/>
    <w:rsid w:val="F5EF7556"/>
    <w:rsid w:val="F6FF90E7"/>
    <w:rsid w:val="F77F30D8"/>
    <w:rsid w:val="F7FE55A9"/>
    <w:rsid w:val="F9B7CEFD"/>
    <w:rsid w:val="F9DB2CE9"/>
    <w:rsid w:val="FB3FF48A"/>
    <w:rsid w:val="FB7AAC70"/>
    <w:rsid w:val="FBF6EA77"/>
    <w:rsid w:val="FC75B848"/>
    <w:rsid w:val="FEB632A1"/>
    <w:rsid w:val="FFED0D91"/>
    <w:rsid w:val="FFF60390"/>
    <w:rsid w:val="FFFB7426"/>
    <w:rsid w:val="FFFE09DE"/>
    <w:rsid w:val="FFFE4963"/>
    <w:rsid w:val="FFFF6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1189</Words>
  <Characters>1253</Characters>
  <Lines>0</Lines>
  <Paragraphs>0</Paragraphs>
  <TotalTime>7</TotalTime>
  <ScaleCrop>false</ScaleCrop>
  <LinksUpToDate>false</LinksUpToDate>
  <CharactersWithSpaces>1585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2021-09-22T18:14:00Z</dcterms:created>
  <dc:creator>oa</dc:creator>
  <cp:lastModifiedBy>Yumi</cp:lastModifiedBy>
  <cp:lastPrinted>2022-03-25T09:02:00Z</cp:lastPrinted>
  <dcterms:modified xsi:type="dcterms:W3CDTF">2022-12-09T08:20:40Z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5D08941240AF4E6384761B29E608B0AD</vt:lpwstr>
  </property>
</Properties>
</file>